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8"/>
          <w:sz-cs w:val="28"/>
          <w:b/>
          <w:u w:val="single"/>
        </w:rPr>
        <w:t xml:space="preserve">RESIDENTIAL LOW IMPACT DEVELOPMENT </w:t>
      </w:r>
    </w:p>
    <w:p>
      <w:pPr>
        <w:jc w:val="center"/>
      </w:pPr>
      <w:r>
        <w:rPr>
          <w:rFonts w:ascii="Palatino Linotype" w:hAnsi="Palatino Linotype" w:cs="Palatino Linotype"/>
          <w:sz w:val="22"/>
          <w:sz-cs w:val="22"/>
          <w:i/>
        </w:rPr>
        <w:t xml:space="preserve">Prepared by the Pioneer Valley Planning Commission</w:t>
      </w:r>
    </w:p>
    <w:p>
      <w:pP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Section 1.0 </w:t>
        <w:tab/>
        <w:t xml:space="preserve">Stormwater Management Bylaw </w:t>
      </w:r>
      <w:r>
        <w:rPr>
          <w:rFonts w:ascii="Palatino Linotype" w:hAnsi="Palatino Linotype" w:cs="Palatino Linotype"/>
          <w:sz w:val="22"/>
          <w:sz-cs w:val="22"/>
          <w:b/>
          <w:strike/>
        </w:rPr>
        <w:t xml:space="preserve"/>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1.1</w:t>
        <w:tab/>
        <w:t xml:space="preserve">Purpose</w:t>
      </w:r>
    </w:p>
    <w:p>
      <w:pPr>
        <w:jc w:val="both"/>
      </w:pPr>
      <w:r>
        <w:rPr>
          <w:rFonts w:ascii="Palatino Linotype" w:hAnsi="Palatino Linotype" w:cs="Palatino Linotype"/>
          <w:sz w:val="22"/>
          <w:sz-cs w:val="22"/>
        </w:rPr>
        <w:t xml:space="preserve">The purpose of this bylaw is to protect, maintain and enhance the public health, safety, environment and general welfare by establishing minimum requirements and procedures to control the adverse effects of increased post-development stormwater runoff and non-point source pollution associated with new development and redevelopment. Smart site planning and proper management of post-development stormwater runoff will minimize damage to public and private property and infrastructure, safeguard public health, safety, environment and general welfare of the public, protect water and aquatic resources, and promote groundwater recharge to protect surface and groundwater drinking water supplies.</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1.2</w:t>
        <w:tab/>
        <w:t xml:space="preserve">Applicability</w:t>
      </w:r>
    </w:p>
    <w:p>
      <w:pPr>
        <w:jc w:val="both"/>
      </w:pPr>
      <w:r>
        <w:rPr>
          <w:rFonts w:ascii="Palatino Linotype" w:hAnsi="Palatino Linotype" w:cs="Palatino Linotype"/>
          <w:sz w:val="22"/>
          <w:sz-cs w:val="22"/>
        </w:rPr>
        <w:t xml:space="preserve">This bylaw shall be applicable to all land disturbance uses requiring a Special Permit, Site Plan Approval, and residential uses including single-family detached dwellings creating land disturbances and requiring a Building Permit.</w:t>
      </w:r>
    </w:p>
    <w:p>
      <w:pPr>
        <w:spacing w:before="100" w:after="100"/>
      </w:pPr>
      <w:r>
        <w:rPr>
          <w:rFonts w:ascii="Palatino Linotype" w:hAnsi="Palatino Linotype" w:cs="Palatino Linotype"/>
          <w:sz w:val="22"/>
          <w:sz-cs w:val="22"/>
          <w:b/>
        </w:rPr>
        <w:t xml:space="preserve">1.3</w:t>
        <w:tab/>
        <w:t xml:space="preserve">Application Procedures</w:t>
      </w:r>
    </w:p>
    <w:p>
      <w:pPr>
        <w:jc w:val="both"/>
        <w:ind w:left="720" w:first-line="-360"/>
        <w:spacing w:before="100" w:after="100"/>
      </w:pPr>
      <w:r>
        <w:rPr>
          <w:rFonts w:ascii="Palatino Linotype" w:hAnsi="Palatino Linotype" w:cs="Palatino Linotype"/>
          <w:sz w:val="22"/>
          <w:sz-cs w:val="22"/>
        </w:rPr>
        <w:t xml:space="preserve">1.</w:t>
        <w:tab/>
        <w:t xml:space="preserve">For land disturbance uses requiring a Special Permit, a Stormwater Management Plan should be submitted to the Permit Granting Authority for review and approval.</w:t>
      </w:r>
    </w:p>
    <w:p>
      <w:pPr>
        <w:jc w:val="both"/>
        <w:ind w:left="720" w:first-line="-360"/>
        <w:spacing w:before="100" w:after="100"/>
      </w:pPr>
      <w:r>
        <w:rPr>
          <w:rFonts w:ascii="Palatino Linotype" w:hAnsi="Palatino Linotype" w:cs="Palatino Linotype"/>
          <w:sz w:val="22"/>
          <w:sz-cs w:val="22"/>
        </w:rPr>
        <w:t xml:space="preserve">2.</w:t>
        <w:tab/>
        <w:t xml:space="preserve">For land disturbance uses requiring Site Plan Approval, an Stormwater Management Plan should be submitted to the Permit Granting Authority for review and approval.</w:t>
      </w:r>
    </w:p>
    <w:p>
      <w:pPr>
        <w:jc w:val="both"/>
        <w:ind w:left="720" w:first-line="-360"/>
        <w:spacing w:before="100" w:after="100"/>
      </w:pPr>
      <w:r>
        <w:rPr>
          <w:rFonts w:ascii="Palatino Linotype" w:hAnsi="Palatino Linotype" w:cs="Palatino Linotype"/>
          <w:sz w:val="22"/>
          <w:sz-cs w:val="22"/>
        </w:rPr>
        <w:t xml:space="preserve">3.</w:t>
        <w:tab/>
        <w:t xml:space="preserve">For all residential uses not requiring a Special Permit or Site Plan Approval, a residential Stormwater Management Plan identifying post-construction drainage controls for the roof, driveway and any drains, including their locations on a site plan,</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shall be submitted to the Zoning Code Enforcement Officer on a form provided by the Zoning Code Enforcement Officer</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prior</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to application for a Building Permit. The Zoning Code Enforcement Officer will refer Stormwater Management Plan submittals to the Conservation Commission and Board of Health for review and comment to ensure consistency with this bylaw. For residential uses not requiring a Special Permit or Site Plan Approval, the Zoning Code Enforcement Officer</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will have authority to render a final decision as to whether the Stormwater</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Management Plan is satisfactory. </w:t>
      </w:r>
    </w:p>
    <w:p>
      <w:pPr>
        <w:jc w:val="both"/>
        <w:ind w:left="720" w:first-line="-360"/>
        <w:spacing w:before="100" w:after="100"/>
      </w:pPr>
      <w:r>
        <w:rPr>
          <w:rFonts w:ascii="Palatino Linotype" w:hAnsi="Palatino Linotype" w:cs="Palatino Linotype"/>
          <w:sz w:val="22"/>
          <w:sz-cs w:val="22"/>
        </w:rPr>
        <w:t xml:space="preserve">4.</w:t>
        <w:tab/>
        <w:t xml:space="preserve">The Conservation Commission and Board of Health</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shall have 30 days to provide comments to the Zoning Code Enforcement Officer. If comments are not received within 30 days, the Zoning Code Enforcement Officer</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may render a decision without comment.</w:t>
      </w:r>
    </w:p>
    <w:p>
      <w:pPr>
        <w:jc w:val="both"/>
        <w:ind w:left="720" w:first-line="-360"/>
        <w:spacing w:before="100" w:after="100"/>
      </w:pPr>
      <w:r>
        <w:rPr>
          <w:rFonts w:ascii="Palatino Linotype" w:hAnsi="Palatino Linotype" w:cs="Palatino Linotype"/>
          <w:sz w:val="22"/>
          <w:sz-cs w:val="22"/>
        </w:rPr>
        <w:t xml:space="preserve">5.</w:t>
        <w:tab/>
        <w:t xml:space="preserve">The Zoning Code Enforcement Officer shall render a decision regarding whether the Stormwater Management Plan is consistent with the standards of this bylaw within 45 days of submittal of such plan. </w:t>
      </w:r>
    </w:p>
    <w:p>
      <w:pPr>
        <w:jc w:val="both"/>
        <w:ind w:left="720" w:first-line="-360"/>
        <w:spacing w:before="100" w:after="100"/>
      </w:pPr>
      <w:r>
        <w:rPr>
          <w:rFonts w:ascii="Palatino Linotype" w:hAnsi="Palatino Linotype" w:cs="Palatino Linotype"/>
          <w:sz w:val="22"/>
          <w:sz-cs w:val="22"/>
        </w:rPr>
        <w:t xml:space="preserve">6. </w:t>
        <w:tab/>
        <w:t xml:space="preserve">If the Stormwater Management Plan is determined to be inconsistent with this bylaw, the project proponent may amend and re-submit the plan at any time, in order to meet the requirements of this bylaw.</w:t>
      </w:r>
    </w:p>
    <w:p>
      <w:pPr>
        <w:spacing w:before="100" w:after="100"/>
      </w:pPr>
      <w:r>
        <w:rPr>
          <w:rFonts w:ascii="Palatino Linotype" w:hAnsi="Palatino Linotype" w:cs="Palatino Linotype"/>
          <w:sz w:val="22"/>
          <w:sz-cs w:val="22"/>
          <w:b/>
        </w:rPr>
        <w:t xml:space="preserve">1.4 </w:t>
        <w:tab/>
        <w:t xml:space="preserve">Stormwater Management Plan Contents</w:t>
      </w:r>
      <w:r>
        <w:rPr>
          <w:rFonts w:ascii="Palatino Linotype" w:hAnsi="Palatino Linotype" w:cs="Palatino Linotype"/>
          <w:sz w:val="22"/>
          <w:sz-cs w:val="22"/>
        </w:rPr>
        <w:t xml:space="preserve"/>
      </w:r>
    </w:p>
    <w:p>
      <w:pPr>
        <w:jc w:val="both"/>
        <w:ind w:left="720" w:first-line="-360"/>
        <w:spacing w:before="100" w:after="100"/>
      </w:pPr>
      <w:r>
        <w:rPr>
          <w:rFonts w:ascii="Palatino Linotype" w:hAnsi="Palatino Linotype" w:cs="Palatino Linotype"/>
          <w:sz w:val="22"/>
          <w:sz-cs w:val="22"/>
        </w:rPr>
        <w:t xml:space="preserve">1.</w:t>
        <w:tab/>
        <w:t xml:space="preserve">This plan shall be submitted in accordance with the criteria established in this bylaw and must be submitted with the stamp and signature of a Professional Engineer (PE) licensed in the Commonwealth of Massachusetts. </w:t>
      </w:r>
    </w:p>
    <w:p>
      <w:pPr>
        <w:jc w:val="both"/>
        <w:ind w:left="720" w:first-line="-360"/>
        <w:spacing w:before="100" w:after="100"/>
      </w:pPr>
      <w:r>
        <w:rPr>
          <w:rFonts w:ascii="Palatino Linotype" w:hAnsi="Palatino Linotype" w:cs="Palatino Linotype"/>
          <w:sz w:val="22"/>
          <w:sz-cs w:val="22"/>
        </w:rPr>
        <w:t xml:space="preserve">2.</w:t>
        <w:tab/>
        <w:t xml:space="preserve">The Stormwater Management Plan shall fully describe the project in drawings, narrative and calculations. For uses causing land disturbance and requiring a Special Permit and Site Plan Approval, the Stormwater</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Management Plan shall contain the following: </w:t>
      </w:r>
    </w:p>
    <w:p>
      <w:pPr>
        <w:jc w:val="both"/>
        <w:ind w:left="720"/>
        <w:spacing w:before="100" w:after="100"/>
      </w:pPr>
      <w:r>
        <w:rPr>
          <w:rFonts w:ascii="Palatino Linotype" w:hAnsi="Palatino Linotype" w:cs="Palatino Linotype"/>
          <w:sz w:val="22"/>
          <w:sz-cs w:val="22"/>
        </w:rPr>
        <w:t xml:space="preserve">a. Contact Information: Name, address and telephone number of all persons having legal interest in the property, and the parcel number (map and lot) of the property or properties affected;</w:t>
      </w:r>
    </w:p>
    <w:p>
      <w:pPr>
        <w:jc w:val="both"/>
        <w:ind w:first-line="720"/>
        <w:spacing w:before="100" w:after="100"/>
      </w:pPr>
      <w:r>
        <w:rPr>
          <w:rFonts w:ascii="Palatino Linotype" w:hAnsi="Palatino Linotype" w:cs="Palatino Linotype"/>
          <w:sz w:val="22"/>
          <w:sz-cs w:val="22"/>
        </w:rPr>
        <w:t xml:space="preserve">b. A locus map;</w:t>
      </w:r>
    </w:p>
    <w:p>
      <w:pPr>
        <w:jc w:val="both"/>
        <w:ind w:first-line="720"/>
        <w:spacing w:before="100" w:after="100"/>
      </w:pPr>
      <w:r>
        <w:rPr>
          <w:rFonts w:ascii="Palatino Linotype" w:hAnsi="Palatino Linotype" w:cs="Palatino Linotype"/>
          <w:sz w:val="22"/>
          <w:sz-cs w:val="22"/>
        </w:rPr>
        <w:t xml:space="preserve">c. Existing site plan;</w:t>
      </w:r>
    </w:p>
    <w:p>
      <w:pPr>
        <w:jc w:val="both"/>
        <w:ind w:first-line="720"/>
        <w:spacing w:before="100" w:after="100"/>
      </w:pPr>
      <w:r>
        <w:rPr>
          <w:rFonts w:ascii="Palatino Linotype" w:hAnsi="Palatino Linotype" w:cs="Palatino Linotype"/>
          <w:sz w:val="22"/>
          <w:sz-cs w:val="22"/>
        </w:rPr>
        <w:t xml:space="preserve">d. Existing zoning and land use at the site;</w:t>
      </w:r>
    </w:p>
    <w:p>
      <w:pPr>
        <w:jc w:val="both"/>
        <w:ind w:first-line="720"/>
        <w:spacing w:before="100" w:after="100"/>
      </w:pPr>
      <w:r>
        <w:rPr>
          <w:rFonts w:ascii="Palatino Linotype" w:hAnsi="Palatino Linotype" w:cs="Palatino Linotype"/>
          <w:sz w:val="22"/>
          <w:sz-cs w:val="22"/>
        </w:rPr>
        <w:t xml:space="preserve">e. Proposed land use;</w:t>
      </w:r>
    </w:p>
    <w:p>
      <w:pPr>
        <w:jc w:val="both"/>
        <w:ind w:left="720"/>
        <w:spacing w:before="100" w:after="100"/>
      </w:pPr>
      <w:r>
        <w:rPr>
          <w:rFonts w:ascii="Palatino Linotype" w:hAnsi="Palatino Linotype" w:cs="Palatino Linotype"/>
          <w:sz w:val="22"/>
          <w:sz-cs w:val="22"/>
        </w:rPr>
        <w:t xml:space="preserve">f. Location(s) of existing and proposed easements;</w:t>
      </w:r>
    </w:p>
    <w:p>
      <w:pPr>
        <w:jc w:val="both"/>
        <w:ind w:first-line="720"/>
        <w:spacing w:before="100" w:after="100"/>
      </w:pPr>
      <w:r>
        <w:rPr>
          <w:rFonts w:ascii="Palatino Linotype" w:hAnsi="Palatino Linotype" w:cs="Palatino Linotype"/>
          <w:sz w:val="22"/>
          <w:sz-cs w:val="22"/>
        </w:rPr>
        <w:t xml:space="preserve">g. Location(s) of existing and proposed utilities;</w:t>
      </w:r>
    </w:p>
    <w:p>
      <w:pPr>
        <w:jc w:val="both"/>
        <w:ind w:first-line="720"/>
        <w:spacing w:before="100" w:after="100"/>
      </w:pPr>
      <w:r>
        <w:rPr>
          <w:rFonts w:ascii="Palatino Linotype" w:hAnsi="Palatino Linotype" w:cs="Palatino Linotype"/>
          <w:sz w:val="22"/>
          <w:sz-cs w:val="22"/>
        </w:rPr>
        <w:t xml:space="preserve">h. Existing and proposed topography at the site with contours at 2-foot intervals;</w:t>
      </w:r>
    </w:p>
    <w:p>
      <w:pPr>
        <w:jc w:val="both"/>
        <w:ind w:first-line="720"/>
        <w:spacing w:before="100" w:after="100"/>
      </w:pPr>
      <w:r>
        <w:rPr>
          <w:rFonts w:ascii="Palatino Linotype" w:hAnsi="Palatino Linotype" w:cs="Palatino Linotype"/>
          <w:sz w:val="22"/>
          <w:sz-cs w:val="22"/>
        </w:rPr>
        <w:t xml:space="preserve">i. Existing site hydrology (both groundwater recharge and surface runoff);</w:t>
      </w:r>
    </w:p>
    <w:p>
      <w:pPr>
        <w:jc w:val="both"/>
        <w:ind w:left="720"/>
        <w:spacing w:before="100" w:after="100"/>
      </w:pPr>
      <w:r>
        <w:rPr>
          <w:rFonts w:ascii="Palatino Linotype" w:hAnsi="Palatino Linotype" w:cs="Palatino Linotype"/>
          <w:sz w:val="22"/>
          <w:sz-cs w:val="22"/>
        </w:rPr>
        <w:t xml:space="preserve">j. Description and delineation of existing stormwater conveyances, impoundments, wetlands, drinking water resource areas, swimming beaches or other critical environmental resource areas, on or adjacent to the site into which stormwater flows;</w:t>
      </w:r>
    </w:p>
    <w:p>
      <w:pPr>
        <w:jc w:val="both"/>
        <w:ind w:first-line="720"/>
        <w:spacing w:before="100" w:after="100"/>
      </w:pPr>
      <w:r>
        <w:rPr>
          <w:rFonts w:ascii="Palatino Linotype" w:hAnsi="Palatino Linotype" w:cs="Palatino Linotype"/>
          <w:sz w:val="22"/>
          <w:sz-cs w:val="22"/>
        </w:rPr>
        <w:t xml:space="preserve">k. Delineation of 100-year flood plains, if applicable;</w:t>
      </w:r>
    </w:p>
    <w:p>
      <w:pPr>
        <w:jc w:val="both"/>
        <w:ind w:left="720"/>
        <w:spacing w:before="100" w:after="100"/>
      </w:pPr>
      <w:r>
        <w:rPr>
          <w:rFonts w:ascii="Palatino Linotype" w:hAnsi="Palatino Linotype" w:cs="Palatino Linotype"/>
          <w:sz w:val="22"/>
          <w:sz-cs w:val="22"/>
        </w:rPr>
        <w:t xml:space="preserve">l. Estimated seasonal high groundwater elevation in areas to be used for stormwater retention, detention or infiltration;</w:t>
      </w:r>
    </w:p>
    <w:p>
      <w:pPr>
        <w:jc w:val="both"/>
        <w:ind w:left="720"/>
        <w:spacing w:before="100" w:after="100"/>
      </w:pPr>
      <w:r>
        <w:rPr>
          <w:rFonts w:ascii="Palatino Linotype" w:hAnsi="Palatino Linotype" w:cs="Palatino Linotype"/>
          <w:sz w:val="22"/>
          <w:sz-cs w:val="22"/>
        </w:rPr>
        <w:t xml:space="preserve">m. Existing and proposed vegetation and ground surfaces with runoff coefficients for each;</w:t>
      </w:r>
    </w:p>
    <w:p>
      <w:pPr>
        <w:jc w:val="both"/>
        <w:ind w:left="720"/>
        <w:spacing w:before="100" w:after="100"/>
      </w:pPr>
      <w:r>
        <w:rPr>
          <w:rFonts w:ascii="Palatino Linotype" w:hAnsi="Palatino Linotype" w:cs="Palatino Linotype"/>
          <w:sz w:val="22"/>
          <w:sz-cs w:val="22"/>
        </w:rPr>
        <w:t xml:space="preserve">n. Drainage area map with pre- and post-construction watershed boundaries, drainage area and stormwater flow paths, including municipal drainage system flows;</w:t>
      </w:r>
    </w:p>
    <w:p>
      <w:pPr>
        <w:jc w:val="both"/>
        <w:ind w:left="720"/>
        <w:spacing w:before="100" w:after="100"/>
      </w:pPr>
      <w:r>
        <w:rPr>
          <w:rFonts w:ascii="Palatino Linotype" w:hAnsi="Palatino Linotype" w:cs="Palatino Linotype"/>
          <w:sz w:val="22"/>
          <w:sz-cs w:val="22"/>
        </w:rPr>
        <w:t xml:space="preserve">o. Recharge area analysis that calculates pre-and post-construction annual groundwater recharge rates on the parcel;</w:t>
      </w:r>
    </w:p>
    <w:p>
      <w:pPr>
        <w:jc w:val="both"/>
        <w:ind w:left="720"/>
        <w:spacing w:before="100" w:after="100"/>
      </w:pPr>
      <w:r>
        <w:rPr>
          <w:rFonts w:ascii="Palatino Linotype" w:hAnsi="Palatino Linotype" w:cs="Palatino Linotype"/>
          <w:sz w:val="22"/>
          <w:sz-cs w:val="22"/>
        </w:rPr>
        <w:t xml:space="preserve">p. A description and drawings of all components of the proposed LID  Management system including:</w:t>
      </w:r>
    </w:p>
    <w:p>
      <w:pPr>
        <w:jc w:val="both"/>
        <w:ind w:left="2160" w:first-line="-360"/>
        <w:spacing w:before="100" w:after="100"/>
      </w:pPr>
      <w:r>
        <w:rPr>
          <w:rFonts w:ascii="Palatino Linotype" w:hAnsi="Palatino Linotype" w:cs="Palatino Linotype"/>
          <w:sz w:val="22"/>
          <w:sz-cs w:val="22"/>
        </w:rPr>
        <w:t xml:space="preserve">i.</w:t>
        <w:tab/>
        <w:t xml:space="preserve">Locations, cross sections, and profiles of all brooks streams, drainage swales and their method of stabilization;</w:t>
      </w:r>
    </w:p>
    <w:p>
      <w:pPr>
        <w:jc w:val="both"/>
        <w:ind w:left="2160" w:first-line="-360"/>
        <w:spacing w:before="100" w:after="100"/>
      </w:pPr>
      <w:r>
        <w:rPr>
          <w:rFonts w:ascii="Palatino Linotype" w:hAnsi="Palatino Linotype" w:cs="Palatino Linotype"/>
          <w:sz w:val="22"/>
          <w:sz-cs w:val="22"/>
        </w:rPr>
        <w:t xml:space="preserve">ii.</w:t>
        <w:tab/>
        <w:t xml:space="preserve">Structural details and constructions specifications for the detention, retention or infiltration of water;</w:t>
      </w:r>
    </w:p>
    <w:p>
      <w:pPr>
        <w:jc w:val="both"/>
        <w:ind w:left="2160" w:first-line="-360"/>
        <w:spacing w:before="100" w:after="100"/>
      </w:pPr>
      <w:r>
        <w:rPr>
          <w:rFonts w:ascii="Palatino Linotype" w:hAnsi="Palatino Linotype" w:cs="Palatino Linotype"/>
          <w:sz w:val="22"/>
          <w:sz-cs w:val="22"/>
        </w:rPr>
        <w:t xml:space="preserve">iii.</w:t>
        <w:tab/>
        <w:t xml:space="preserve">Any other information requested by the permit granting authority or the Building Inspector.</w:t>
      </w:r>
    </w:p>
    <w:p>
      <w:pPr>
        <w:jc w:val="both"/>
        <w:ind w:left="720"/>
        <w:spacing w:before="100" w:after="100"/>
      </w:pPr>
      <w:r>
        <w:rPr>
          <w:rFonts w:ascii="Palatino Linotype" w:hAnsi="Palatino Linotype" w:cs="Palatino Linotype"/>
          <w:sz w:val="22"/>
          <w:sz-cs w:val="22"/>
        </w:rPr>
        <w:t xml:space="preserve">q. Hydrologic and hydraulic design calculations for the pre- and post-development conditions for the 2-year, 10-year and 100-year 24 hour storm events. Such calculations shall include:</w:t>
      </w:r>
    </w:p>
    <w:p>
      <w:pPr>
        <w:jc w:val="both"/>
        <w:ind w:left="2160" w:first-line="-540"/>
        <w:spacing w:before="100" w:after="100"/>
      </w:pPr>
      <w:r>
        <w:rPr>
          <w:rFonts w:ascii="Palatino Linotype" w:hAnsi="Palatino Linotype" w:cs="Palatino Linotype"/>
          <w:sz w:val="22"/>
          <w:sz-cs w:val="22"/>
        </w:rPr>
        <w:t xml:space="preserve">i.</w:t>
        <w:tab/>
        <w:t xml:space="preserve">Description of the design storm frequency, intensity and duration;</w:t>
      </w:r>
    </w:p>
    <w:p>
      <w:pPr>
        <w:jc w:val="both"/>
        <w:ind w:left="2160" w:first-line="-540"/>
        <w:spacing w:before="100" w:after="100"/>
      </w:pPr>
      <w:r>
        <w:rPr>
          <w:rFonts w:ascii="Palatino Linotype" w:hAnsi="Palatino Linotype" w:cs="Palatino Linotype"/>
          <w:sz w:val="22"/>
          <w:sz-cs w:val="22"/>
        </w:rPr>
        <w:t xml:space="preserve">ii.</w:t>
        <w:tab/>
        <w:t xml:space="preserve">Time of concentration;</w:t>
      </w:r>
    </w:p>
    <w:p>
      <w:pPr>
        <w:jc w:val="both"/>
        <w:ind w:left="2160" w:first-line="-540"/>
        <w:spacing w:before="100" w:after="100"/>
      </w:pPr>
      <w:r>
        <w:rPr>
          <w:rFonts w:ascii="Palatino Linotype" w:hAnsi="Palatino Linotype" w:cs="Palatino Linotype"/>
          <w:sz w:val="22"/>
          <w:sz-cs w:val="22"/>
        </w:rPr>
        <w:t xml:space="preserve">iii.</w:t>
        <w:tab/>
        <w:t xml:space="preserve">Soil Runoff Curve Number (RCN) based on land use and soil hydrologic group;</w:t>
      </w:r>
    </w:p>
    <w:p>
      <w:pPr>
        <w:jc w:val="both"/>
        <w:ind w:left="2160" w:first-line="-540"/>
        <w:spacing w:before="100" w:after="100"/>
      </w:pPr>
      <w:r>
        <w:rPr>
          <w:rFonts w:ascii="Palatino Linotype" w:hAnsi="Palatino Linotype" w:cs="Palatino Linotype"/>
          <w:sz w:val="22"/>
          <w:sz-cs w:val="22"/>
        </w:rPr>
        <w:t xml:space="preserve">iv.</w:t>
        <w:tab/>
        <w:t xml:space="preserve">Peak runoff rates and total runoff volumes for each watershed area;</w:t>
      </w:r>
    </w:p>
    <w:p>
      <w:pPr>
        <w:jc w:val="both"/>
        <w:ind w:left="2160" w:first-line="-540"/>
        <w:spacing w:before="100" w:after="100"/>
      </w:pPr>
      <w:r>
        <w:rPr>
          <w:rFonts w:ascii="Palatino Linotype" w:hAnsi="Palatino Linotype" w:cs="Palatino Linotype"/>
          <w:sz w:val="22"/>
          <w:sz-cs w:val="22"/>
        </w:rPr>
        <w:t xml:space="preserve">v.</w:t>
        <w:tab/>
        <w:t xml:space="preserve">Information on construction measures used to maintain the infiltration capacity of the soil where any kind of infiltration is proposed;</w:t>
      </w:r>
    </w:p>
    <w:p>
      <w:pPr>
        <w:jc w:val="both"/>
        <w:ind w:left="2160" w:first-line="-540"/>
        <w:spacing w:before="100" w:after="100"/>
      </w:pPr>
      <w:r>
        <w:rPr>
          <w:rFonts w:ascii="Palatino Linotype" w:hAnsi="Palatino Linotype" w:cs="Palatino Linotype"/>
          <w:sz w:val="22"/>
          <w:sz-cs w:val="22"/>
        </w:rPr>
        <w:t xml:space="preserve">vi.</w:t>
        <w:tab/>
        <w:t xml:space="preserve">Infiltration rates, where applicable;</w:t>
      </w:r>
    </w:p>
    <w:p>
      <w:pPr>
        <w:jc w:val="both"/>
        <w:ind w:left="2160" w:first-line="-540"/>
        <w:spacing w:before="100" w:after="100"/>
      </w:pPr>
      <w:r>
        <w:rPr>
          <w:rFonts w:ascii="Palatino Linotype" w:hAnsi="Palatino Linotype" w:cs="Palatino Linotype"/>
          <w:sz w:val="22"/>
          <w:sz-cs w:val="22"/>
        </w:rPr>
        <w:t xml:space="preserve">vii.</w:t>
        <w:tab/>
        <w:t xml:space="preserve">Culvert capacities;</w:t>
      </w:r>
    </w:p>
    <w:p>
      <w:pPr>
        <w:jc w:val="both"/>
        <w:ind w:left="2160" w:first-line="-540"/>
        <w:spacing w:before="100" w:after="100"/>
      </w:pPr>
      <w:r>
        <w:rPr>
          <w:rFonts w:ascii="Palatino Linotype" w:hAnsi="Palatino Linotype" w:cs="Palatino Linotype"/>
          <w:sz w:val="22"/>
          <w:sz-cs w:val="22"/>
        </w:rPr>
        <w:t xml:space="preserve">viii.</w:t>
        <w:tab/>
        <w:t xml:space="preserve">Flow velocities;</w:t>
      </w:r>
    </w:p>
    <w:p>
      <w:pPr>
        <w:jc w:val="both"/>
        <w:ind w:left="2160" w:first-line="-540"/>
        <w:spacing w:before="100" w:after="100"/>
      </w:pPr>
      <w:r>
        <w:rPr>
          <w:rFonts w:ascii="Palatino Linotype" w:hAnsi="Palatino Linotype" w:cs="Palatino Linotype"/>
          <w:sz w:val="22"/>
          <w:sz-cs w:val="22"/>
        </w:rPr>
        <w:t xml:space="preserve">ix.</w:t>
        <w:tab/>
        <w:t xml:space="preserve">Data on the increase in rate and volume of runoff for the specified design storms, and</w:t>
      </w:r>
    </w:p>
    <w:p>
      <w:pPr>
        <w:jc w:val="both"/>
        <w:ind w:left="2160" w:first-line="-540"/>
        <w:spacing w:before="100" w:after="100"/>
      </w:pPr>
      <w:r>
        <w:rPr>
          <w:rFonts w:ascii="Palatino Linotype" w:hAnsi="Palatino Linotype" w:cs="Palatino Linotype"/>
          <w:sz w:val="22"/>
          <w:sz-cs w:val="22"/>
        </w:rPr>
        <w:t xml:space="preserve">x.</w:t>
        <w:tab/>
        <w:t xml:space="preserve">Documentation of sources for all computation methods and field test results.</w:t>
      </w:r>
    </w:p>
    <w:p>
      <w:pPr>
        <w:jc w:val="both"/>
        <w:ind w:left="720"/>
      </w:pPr>
      <w:r>
        <w:rPr>
          <w:rFonts w:ascii="Palatino Linotype" w:hAnsi="Palatino Linotype" w:cs="Palatino Linotype"/>
          <w:sz w:val="22"/>
          <w:sz-cs w:val="22"/>
        </w:rPr>
        <w:t xml:space="preserve">r. Post-Development downstream analysis if deemed necessary by the granting authority. The permit granting</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authority may request that the applicant evaluate the hydrologic impacts</w:t>
      </w:r>
      <w:r>
        <w:rPr>
          <w:rFonts w:ascii="Palatino Linotype" w:hAnsi="Palatino Linotype" w:cs="Palatino Linotype"/>
          <w:sz w:val="22"/>
          <w:sz-cs w:val="22"/>
          <w:i/>
        </w:rPr>
        <w:t xml:space="preserve"> </w:t>
      </w:r>
      <w:r>
        <w:rPr>
          <w:rFonts w:ascii="Palatino Linotype" w:hAnsi="Palatino Linotype" w:cs="Palatino Linotype"/>
          <w:sz w:val="22"/>
          <w:sz-cs w:val="22"/>
        </w:rPr>
        <w:t xml:space="preserve">immediately downstream of the project.</w:t>
      </w:r>
      <w:r>
        <w:rPr>
          <w:rFonts w:ascii="Palatino Linotype" w:hAnsi="Palatino Linotype" w:cs="Palatino Linotype"/>
          <w:sz w:val="22"/>
          <w:sz-cs w:val="22"/>
          <w:i/>
        </w:rPr>
        <w:t xml:space="preserve"/>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s. Soils Information from test pits performed at the location of proposed Stormwater Management facilities, including but not limited to soil descriptions, depth to seasonal high groundwater, depth to bedrock, and percolation rates. Soils information will be based on site test pits logged by a Massachusetts Registered Soil Evaluator, or a Massachusetts Registered Professional Engineer;</w:t>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t. Landscaping plan describing the woody and herbaceous vegetative stabilization and management techniques to be used within and adjacent to the stormwater practice.</w:t>
      </w:r>
    </w:p>
    <w:p>
      <w:pPr>
        <w:jc w:val="both"/>
        <w:ind w:left="360"/>
        <w:spacing w:before="100" w:after="100"/>
      </w:pPr>
      <w:r>
        <w:rPr>
          <w:rFonts w:ascii="Palatino Linotype" w:hAnsi="Palatino Linotype" w:cs="Palatino Linotype"/>
          <w:sz w:val="22"/>
          <w:sz-cs w:val="22"/>
        </w:rPr>
        <w:t xml:space="preserve">3. For single-family residential uses creating land disturbance and requiring a building permit, the contents of the Stormwater Management Plan shall include a description of the site hydrology and proposed systems for management of runoff from impervious surfaces including roofs and driveways and the locations of any foundation or curtain drains and their outfalls. The contents of the Stormwater Management Plan shall be submitted on a form provided by the Zoning Code Enforcement Officer.</w:t>
      </w:r>
      <w:r>
        <w:rPr>
          <w:rFonts w:ascii="Palatino Linotype" w:hAnsi="Palatino Linotype" w:cs="Palatino Linotype"/>
          <w:sz w:val="22"/>
          <w:sz-cs w:val="22"/>
          <w:strike/>
        </w:rPr>
        <w:t xml:space="preserve"/>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1.5</w:t>
        <w:tab/>
        <w:t xml:space="preserve">Operation and Maintenance Plan </w:t>
      </w:r>
    </w:p>
    <w:p>
      <w:pPr/>
      <w:r>
        <w:rPr>
          <w:rFonts w:ascii="Palatino Linotype" w:hAnsi="Palatino Linotype" w:cs="Palatino Linotype"/>
          <w:sz w:val="22"/>
          <w:sz-cs w:val="22"/>
        </w:rPr>
        <w:t xml:space="preserve"/>
      </w:r>
    </w:p>
    <w:p>
      <w:pPr>
        <w:jc w:val="both"/>
        <w:ind w:left="360"/>
      </w:pPr>
      <w:r>
        <w:rPr>
          <w:rFonts w:ascii="Palatino Linotype" w:hAnsi="Palatino Linotype" w:cs="Palatino Linotype"/>
          <w:sz w:val="22"/>
          <w:sz-cs w:val="22"/>
        </w:rPr>
        <w:t xml:space="preserve">1. An Operation and Maintenance Plan (O&amp;M Plan) is required at the time of  application for all Special Permit and Site Plan Approval projects rendering 15 percent or more of a site impervious. The maintenance plan shall be designed to ensure compliance with this Bylaw and that the Massachusetts Surface Water Quality Standards, 314, CMR 4.00 are met in all seasons and throughout the life of the system. The Operation and Maintenance Plan shall remain on file with the permit granting authority</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and shall be an ongoing requirement. The O&amp;M Plan shall include:</w:t>
      </w:r>
    </w:p>
    <w:p>
      <w:pPr>
        <w:jc w:val="both"/>
        <w:ind w:left="360"/>
      </w:pPr>
      <w:r>
        <w:rPr>
          <w:rFonts w:ascii="Palatino Linotype" w:hAnsi="Palatino Linotype" w:cs="Palatino Linotype"/>
          <w:sz w:val="22"/>
          <w:sz-cs w:val="22"/>
        </w:rPr>
        <w:t xml:space="preserve"/>
      </w:r>
    </w:p>
    <w:p>
      <w:pPr>
        <w:jc w:val="both"/>
        <w:ind w:first-line="720"/>
      </w:pPr>
      <w:r>
        <w:rPr>
          <w:rFonts w:ascii="Palatino Linotype" w:hAnsi="Palatino Linotype" w:cs="Palatino Linotype"/>
          <w:sz w:val="22"/>
          <w:sz-cs w:val="22"/>
        </w:rPr>
        <w:t xml:space="preserve">a. The name(s) of the owner(s) for all components of the system;</w:t>
      </w:r>
    </w:p>
    <w:p>
      <w:pPr>
        <w:jc w:val="both"/>
        <w:ind w:first-line="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b. A map showing the location of the systems and facilities including catch basins, manholes/access lids, main, and stormwater devices;</w:t>
      </w:r>
    </w:p>
    <w:p>
      <w:pPr>
        <w:jc w:val="both"/>
        <w:ind w:left="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c. Maintenance agreements that specify:</w:t>
      </w:r>
    </w:p>
    <w:p>
      <w:pPr>
        <w:jc w:val="both"/>
        <w:ind w:left="72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rPr>
        <w:t xml:space="preserve">(i) The names and addresses of the person(s) responsible for operation and maintenance;</w:t>
      </w:r>
    </w:p>
    <w:p>
      <w:pPr>
        <w:jc w:val="both"/>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rPr>
        <w:t xml:space="preserve">(ii) The person(s) responsible for financing maintenance and emergency repairs;</w:t>
      </w:r>
    </w:p>
    <w:p>
      <w:pPr>
        <w:jc w:val="both"/>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rPr>
        <w:t xml:space="preserve">(iii) An Inspection and Maintenance Schedule for all LID Management facilities including routine and non-routine maintenance tasks to be performed;</w:t>
      </w:r>
    </w:p>
    <w:p>
      <w:pPr>
        <w:jc w:val="both"/>
        <w:ind w:left="144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(iv) A list of easements with the purpose and location of each;</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(v) The signature(s) of the owner(s).</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2. Stormwater</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Management Easement(s)</w:t>
      </w:r>
    </w:p>
    <w:p>
      <w:pPr>
        <w:jc w:val="both"/>
        <w:ind w:left="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a. Stormwater management easements shall be provided by the property owner(s) as necessary for:</w:t>
      </w:r>
    </w:p>
    <w:p>
      <w:pPr>
        <w:jc w:val="both"/>
        <w:ind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(i) Access for facility inspections and maintenance;</w:t>
      </w:r>
    </w:p>
    <w:p>
      <w:pPr>
        <w:jc w:val="both"/>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rPr>
        <w:t xml:space="preserve">(ii) Preservation of stormwater runoff conveyance, infiltration, and detention areas and facilities, including flood routes for the 100-year storm event;</w:t>
      </w:r>
    </w:p>
    <w:p>
      <w:pPr>
        <w:jc w:val="both"/>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rPr>
        <w:t xml:space="preserve">(iii) Direct maintenance access by heavy equipment to structures requiring regular maintenance.</w:t>
      </w:r>
    </w:p>
    <w:p>
      <w:pPr>
        <w:jc w:val="both"/>
        <w:ind w:left="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b. The purpose of each easement shall be specified in the maintenance agreement signed by the property owner.</w:t>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c. Stormwater Management easements are required for all areas used for off-site stormwater control, unless a waiver is granted by the Building Inspector.</w:t>
      </w:r>
    </w:p>
    <w:p>
      <w:pPr>
        <w:jc w:val="both"/>
        <w:ind w:left="720"/>
      </w:pPr>
      <w:r>
        <w:rPr>
          <w:rFonts w:ascii="Palatino Linotype" w:hAnsi="Palatino Linotype" w:cs="Palatino Linotype"/>
          <w:sz w:val="22"/>
          <w:sz-cs w:val="22"/>
        </w:rPr>
        <w:t xml:space="preserve">d. Easements shall be recorded with the Hampshire County Registry of Deeds prior to issuance of a Building Permit by the Building Department.</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3. Changes to Operation and Maintenance Plans</w:t>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a. The owner(s) of the Stormwater Management system must notify the permit granting authority of changes in ownership or assignment of financial responsibility.</w:t>
      </w:r>
    </w:p>
    <w:p>
      <w:pPr>
        <w:jc w:val="both"/>
        <w:ind w:left="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b. The maintenance schedule in the Maintenance Agreement may be amended to achieve the purposes of this Bylaw by mutual agreement of the permit granting authority and the Responsible Parties. Amendments must be in writing and signed by all Responsible Parties. Responsible Parties shall include owner(s), persons with financial responsibility, and persons with operational responsibility.</w:t>
      </w:r>
    </w:p>
    <w:p>
      <w:pPr>
        <w:jc w:val="both"/>
        <w:spacing w:before="100" w:after="100"/>
      </w:pPr>
      <w:r>
        <w:rPr>
          <w:rFonts w:ascii="Palatino Linotype" w:hAnsi="Palatino Linotype" w:cs="Palatino Linotype"/>
          <w:sz w:val="22"/>
          <w:sz-cs w:val="22"/>
        </w:rPr>
        <w:t xml:space="preserve">4. Stormwater Performance Standards</w:t>
      </w:r>
    </w:p>
    <w:p>
      <w:pPr>
        <w:jc w:val="both"/>
        <w:spacing w:before="100" w:after="100"/>
      </w:pPr>
      <w:r>
        <w:rPr>
          <w:rFonts w:ascii="Palatino Linotype" w:hAnsi="Palatino Linotype" w:cs="Palatino Linotype"/>
          <w:sz w:val="22"/>
          <w:sz-cs w:val="22"/>
        </w:rPr>
        <w:t xml:space="preserve">The following performance standards must be met for the Stormwater</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Management Plan to be determined to be in conformance with this bylaw:</w:t>
      </w:r>
    </w:p>
    <w:p>
      <w:pPr>
        <w:jc w:val="both"/>
        <w:ind w:left="720"/>
        <w:spacing w:before="100" w:after="100"/>
      </w:pPr>
      <w:r>
        <w:rPr>
          <w:rFonts w:ascii="Palatino Linotype" w:hAnsi="Palatino Linotype" w:cs="Palatino Linotype"/>
          <w:sz w:val="22"/>
          <w:sz-cs w:val="22"/>
        </w:rPr>
        <w:t xml:space="preserve">a. Open space must be preserved to the maximum extent possible through the use of site planning that identifies important natural resource areas, such as critical recharge areas and species habitat, and seeks to prevent disturbance of these areas by development. </w:t>
      </w:r>
    </w:p>
    <w:p>
      <w:pPr>
        <w:jc w:val="both"/>
        <w:ind w:left="720"/>
        <w:spacing w:before="100" w:after="100"/>
      </w:pPr>
      <w:r>
        <w:rPr>
          <w:rFonts w:ascii="Palatino Linotype" w:hAnsi="Palatino Linotype" w:cs="Palatino Linotype"/>
          <w:sz w:val="22"/>
          <w:sz-cs w:val="22"/>
        </w:rPr>
        <w:t xml:space="preserve">b. Stormwater management systems must be designed so that post-development peak discharge rates do not exceed pre-development peak discharge rates.</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
      </w:r>
    </w:p>
    <w:p>
      <w:pPr>
        <w:jc w:val="both"/>
        <w:ind w:left="720"/>
        <w:spacing w:before="100" w:after="100"/>
      </w:pPr>
      <w:r>
        <w:rPr>
          <w:rFonts w:ascii="Palatino Linotype" w:hAnsi="Palatino Linotype" w:cs="Palatino Linotype"/>
          <w:sz w:val="22"/>
          <w:sz-cs w:val="22"/>
        </w:rPr>
        <w:t xml:space="preserve">c. Loss of annual recharge to groundwater should be minimized through the use of infiltration measures to the maximum extent possible. The annual recharge from the post-development site should approximate the annual recharge from the pre-development or existing site conditions based on soil types. </w:t>
      </w:r>
    </w:p>
    <w:p>
      <w:pPr>
        <w:jc w:val="both"/>
        <w:ind w:left="720"/>
        <w:spacing w:before="100" w:after="100"/>
      </w:pPr>
      <w:r>
        <w:rPr>
          <w:rFonts w:ascii="Palatino Linotype" w:hAnsi="Palatino Linotype" w:cs="Palatino Linotype"/>
          <w:sz w:val="22"/>
          <w:sz-cs w:val="22"/>
        </w:rPr>
        <w:t xml:space="preserve">d. Stormwater must be managed to prevent flooding of neighboring and other down gradient properties.</w:t>
      </w:r>
    </w:p>
    <w:p>
      <w:pPr>
        <w:jc w:val="both"/>
        <w:ind w:left="720"/>
        <w:spacing w:before="100" w:after="100"/>
      </w:pPr>
      <w:r>
        <w:rPr>
          <w:rFonts w:ascii="Palatino Linotype" w:hAnsi="Palatino Linotype" w:cs="Palatino Linotype"/>
          <w:sz w:val="22"/>
          <w:sz-cs w:val="22"/>
        </w:rPr>
        <w:t xml:space="preserve">e. Existing vegetation should be preserved to the maximum extent possible and native plant communities must be replicated in post-construction landscaping.</w:t>
      </w:r>
    </w:p>
    <w:p>
      <w:pPr>
        <w:jc w:val="both"/>
        <w:ind w:left="720"/>
        <w:spacing w:before="100" w:after="100"/>
      </w:pPr>
      <w:r>
        <w:rPr>
          <w:rFonts w:ascii="Palatino Linotype" w:hAnsi="Palatino Linotype" w:cs="Palatino Linotype"/>
          <w:sz w:val="22"/>
          <w:sz-cs w:val="22"/>
        </w:rPr>
        <w:t xml:space="preserve">f. Appropriate best management practices to meet the intent of this bylaw include but are not limited to: detention/retention basins, drywells and other infiltration devices equipped with oil/grease pretreatment systems, rain gardens, green roofs, rain barrels, porous pavement, vegetated swales, and constructed wetlands.</w:t>
      </w:r>
    </w:p>
    <w:p>
      <w:pPr/>
      <w:r>
        <w:rPr>
          <w:rFonts w:ascii="Palatino Linotype" w:hAnsi="Palatino Linotype" w:cs="Palatino Linotype"/>
          <w:sz w:val="22"/>
          <w:sz-cs w:val="22"/>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LOW IMPACT DEVELOPMENT </dc:title>
  <dc:creator>acapra</dc:creator>
</cp:coreProperties>
</file>

<file path=docProps/meta.xml><?xml version="1.0" encoding="utf-8"?>
<meta xmlns="http://schemas.apple.com/cocoa/2006/metadata">
  <generator>CocoaOOXMLWriter/1038.36</generator>
</meta>
</file>